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21E08" w14:textId="77777777" w:rsidR="00DA4C6E" w:rsidRDefault="00DA4C6E" w:rsidP="00DA4C6E">
      <w:pPr>
        <w:ind w:left="-567" w:right="-726"/>
        <w:jc w:val="center"/>
      </w:pPr>
    </w:p>
    <w:p w14:paraId="202626E3" w14:textId="65F6F631" w:rsidR="00BC7466" w:rsidRPr="00F8472B" w:rsidRDefault="00BC7466" w:rsidP="00DA4C6E">
      <w:pPr>
        <w:ind w:left="-567" w:right="-7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F8472B">
        <w:rPr>
          <w:rFonts w:cstheme="minorHAnsi"/>
          <w:b/>
          <w:bCs/>
          <w:noProof/>
          <w:sz w:val="24"/>
          <w:szCs w:val="24"/>
          <w:u w:val="single"/>
        </w:rPr>
        <w:drawing>
          <wp:anchor distT="0" distB="0" distL="114300" distR="114300" simplePos="0" relativeHeight="251658240" behindDoc="0" locked="0" layoutInCell="1" allowOverlap="1" wp14:anchorId="3C6149DC" wp14:editId="01F06F29">
            <wp:simplePos x="0" y="0"/>
            <wp:positionH relativeFrom="margin">
              <wp:align>center</wp:align>
            </wp:positionH>
            <wp:positionV relativeFrom="margin">
              <wp:posOffset>-552450</wp:posOffset>
            </wp:positionV>
            <wp:extent cx="4267200" cy="80391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803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A4C6E" w:rsidRPr="00F8472B">
        <w:rPr>
          <w:rFonts w:cstheme="minorHAnsi"/>
          <w:b/>
          <w:bCs/>
          <w:sz w:val="24"/>
          <w:szCs w:val="24"/>
          <w:u w:val="single"/>
        </w:rPr>
        <w:t>The history of the modern census</w:t>
      </w:r>
    </w:p>
    <w:p w14:paraId="4E4F951C" w14:textId="1F743F78" w:rsidR="00DA4C6E" w:rsidRPr="0035180A" w:rsidRDefault="00DA4C6E" w:rsidP="00EB6F2F">
      <w:pPr>
        <w:spacing w:line="240" w:lineRule="auto"/>
        <w:ind w:left="-567" w:right="-726"/>
        <w:rPr>
          <w:rFonts w:cstheme="minorHAnsi"/>
        </w:rPr>
      </w:pPr>
      <w:r w:rsidRPr="0035180A">
        <w:rPr>
          <w:rFonts w:cstheme="minorHAnsi"/>
        </w:rPr>
        <w:t xml:space="preserve">With </w:t>
      </w:r>
      <w:r w:rsidRPr="00F8472B">
        <w:rPr>
          <w:rFonts w:cstheme="minorHAnsi"/>
          <w:b/>
          <w:bCs/>
        </w:rPr>
        <w:t>Census 2021</w:t>
      </w:r>
      <w:r w:rsidRPr="0035180A">
        <w:rPr>
          <w:rFonts w:cstheme="minorHAnsi"/>
        </w:rPr>
        <w:t xml:space="preserve"> due to take place on Sunday 21</w:t>
      </w:r>
      <w:r w:rsidRPr="0035180A">
        <w:rPr>
          <w:rFonts w:cstheme="minorHAnsi"/>
          <w:vertAlign w:val="superscript"/>
        </w:rPr>
        <w:t>st</w:t>
      </w:r>
      <w:r w:rsidRPr="0035180A">
        <w:rPr>
          <w:rFonts w:cstheme="minorHAnsi"/>
        </w:rPr>
        <w:t xml:space="preserve"> March it seems a good time to reflect on the history of such surveys and </w:t>
      </w:r>
      <w:r w:rsidR="00F8472B">
        <w:rPr>
          <w:rFonts w:cstheme="minorHAnsi"/>
        </w:rPr>
        <w:t>their value to us today.</w:t>
      </w:r>
    </w:p>
    <w:p w14:paraId="08B97CBB" w14:textId="17849A54" w:rsidR="00EB6F2F" w:rsidRDefault="00D0171F" w:rsidP="00EB6F2F">
      <w:pPr>
        <w:shd w:val="clear" w:color="auto" w:fill="FFFFFF"/>
        <w:spacing w:after="240" w:line="240" w:lineRule="auto"/>
        <w:ind w:left="-567" w:right="-589"/>
        <w:rPr>
          <w:noProof/>
        </w:rPr>
      </w:pPr>
      <w:r w:rsidRPr="0035180A">
        <w:rPr>
          <w:rFonts w:cstheme="minorHAnsi"/>
          <w:b/>
          <w:bCs/>
        </w:rPr>
        <w:t>The Domesday Book (1086)</w:t>
      </w:r>
      <w:r w:rsidR="00EB6F2F" w:rsidRPr="0035180A">
        <w:rPr>
          <w:rFonts w:cstheme="minorHAnsi"/>
        </w:rPr>
        <w:t xml:space="preserve"> – Well known as the first thorough survey of England, the Domesday Book provides a detailed inventory of land and property. However, unlike the modern census</w:t>
      </w:r>
      <w:r w:rsidR="00733A55">
        <w:rPr>
          <w:rFonts w:cstheme="minorHAnsi"/>
        </w:rPr>
        <w:t>,</w:t>
      </w:r>
      <w:r w:rsidR="00EB6F2F" w:rsidRPr="0035180A">
        <w:rPr>
          <w:rFonts w:cstheme="minorHAnsi"/>
        </w:rPr>
        <w:t xml:space="preserve"> it did not provide an accurate count of the people living in England </w:t>
      </w:r>
      <w:r w:rsidR="00F8472B">
        <w:rPr>
          <w:rFonts w:cstheme="minorHAnsi"/>
        </w:rPr>
        <w:t>at that time</w:t>
      </w:r>
      <w:r w:rsidR="00EB6F2F" w:rsidRPr="0035180A">
        <w:rPr>
          <w:rFonts w:cstheme="minorHAnsi"/>
        </w:rPr>
        <w:t>. Its main purpose was to establish the ownership of assets, so that owners could be taxed on these possessions.</w:t>
      </w:r>
      <w:r w:rsidR="0035180A" w:rsidRPr="0035180A">
        <w:rPr>
          <w:noProof/>
        </w:rPr>
        <w:t xml:space="preserve"> </w:t>
      </w:r>
    </w:p>
    <w:p w14:paraId="24242EB0" w14:textId="3E80E90F" w:rsidR="0035180A" w:rsidRPr="00F32CC8" w:rsidRDefault="0035180A" w:rsidP="00EB6F2F">
      <w:pPr>
        <w:shd w:val="clear" w:color="auto" w:fill="FFFFFF"/>
        <w:spacing w:after="240" w:line="240" w:lineRule="auto"/>
        <w:ind w:left="-567" w:right="-589"/>
        <w:rPr>
          <w:noProof/>
        </w:rPr>
      </w:pPr>
      <w:r w:rsidRPr="00F32CC8">
        <w:rPr>
          <w:noProof/>
        </w:rPr>
        <w:drawing>
          <wp:anchor distT="0" distB="0" distL="114300" distR="114300" simplePos="0" relativeHeight="251659264" behindDoc="1" locked="0" layoutInCell="1" allowOverlap="1" wp14:anchorId="21AEF27C" wp14:editId="1B2F1462">
            <wp:simplePos x="0" y="0"/>
            <wp:positionH relativeFrom="page">
              <wp:align>center</wp:align>
            </wp:positionH>
            <wp:positionV relativeFrom="paragraph">
              <wp:posOffset>434340</wp:posOffset>
            </wp:positionV>
            <wp:extent cx="3586480" cy="1118870"/>
            <wp:effectExtent l="19050" t="19050" r="13970" b="24130"/>
            <wp:wrapTight wrapText="bothSides">
              <wp:wrapPolygon edited="0">
                <wp:start x="-115" y="-368"/>
                <wp:lineTo x="-115" y="21698"/>
                <wp:lineTo x="21569" y="21698"/>
                <wp:lineTo x="21569" y="-368"/>
                <wp:lineTo x="-115" y="-368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6480" cy="11188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Pr="00F32CC8">
        <w:rPr>
          <w:rFonts w:cstheme="minorHAnsi"/>
        </w:rPr>
        <w:t xml:space="preserve">The earliest written references to </w:t>
      </w:r>
      <w:proofErr w:type="spellStart"/>
      <w:r w:rsidRPr="00F32CC8">
        <w:rPr>
          <w:rFonts w:cstheme="minorHAnsi"/>
        </w:rPr>
        <w:t>Malhamdale</w:t>
      </w:r>
      <w:proofErr w:type="spellEnd"/>
      <w:r w:rsidRPr="00F32CC8">
        <w:rPr>
          <w:rFonts w:cstheme="minorHAnsi"/>
        </w:rPr>
        <w:t xml:space="preserve"> Townships can be found in the Domesday Book</w:t>
      </w:r>
      <w:r w:rsidRPr="00F32CC8">
        <w:rPr>
          <w:noProof/>
        </w:rPr>
        <w:t>.</w:t>
      </w:r>
    </w:p>
    <w:p w14:paraId="3C710AC6" w14:textId="0D1A3BDB" w:rsidR="0035180A" w:rsidRPr="0035180A" w:rsidRDefault="0035180A" w:rsidP="00F32CC8">
      <w:pPr>
        <w:shd w:val="clear" w:color="auto" w:fill="FFFFFF"/>
        <w:spacing w:after="240" w:line="240" w:lineRule="auto"/>
        <w:ind w:left="-567" w:right="-589"/>
        <w:rPr>
          <w:rFonts w:cstheme="minorHAnsi"/>
        </w:rPr>
      </w:pPr>
      <w:r w:rsidRPr="0035180A">
        <w:rPr>
          <w:rStyle w:val="Emphasis"/>
          <w:color w:val="000000"/>
        </w:rPr>
        <w:t xml:space="preserve">In </w:t>
      </w:r>
      <w:proofErr w:type="spellStart"/>
      <w:r w:rsidRPr="0035180A">
        <w:rPr>
          <w:rStyle w:val="Emphasis"/>
          <w:color w:val="000000"/>
        </w:rPr>
        <w:t>Swinden</w:t>
      </w:r>
      <w:proofErr w:type="spellEnd"/>
      <w:r w:rsidRPr="0035180A">
        <w:rPr>
          <w:rStyle w:val="Emphasis"/>
          <w:color w:val="000000"/>
        </w:rPr>
        <w:t xml:space="preserve">, </w:t>
      </w:r>
      <w:proofErr w:type="gramStart"/>
      <w:r w:rsidRPr="0035180A">
        <w:rPr>
          <w:rStyle w:val="Emphasis"/>
          <w:color w:val="000000"/>
        </w:rPr>
        <w:t>Hellifield ,</w:t>
      </w:r>
      <w:proofErr w:type="gramEnd"/>
      <w:r w:rsidRPr="0035180A">
        <w:rPr>
          <w:rStyle w:val="Emphasis"/>
          <w:color w:val="000000"/>
        </w:rPr>
        <w:t xml:space="preserve"> Malham and Coniston [Cold] there are 13 and a half </w:t>
      </w:r>
      <w:proofErr w:type="spellStart"/>
      <w:r w:rsidRPr="0035180A">
        <w:rPr>
          <w:rStyle w:val="Emphasis"/>
          <w:color w:val="000000"/>
        </w:rPr>
        <w:t>caracutes</w:t>
      </w:r>
      <w:proofErr w:type="spellEnd"/>
      <w:r w:rsidRPr="0035180A">
        <w:rPr>
          <w:rStyle w:val="Emphasis"/>
          <w:color w:val="000000"/>
        </w:rPr>
        <w:t xml:space="preserve"> taxable.</w:t>
      </w:r>
      <w:r w:rsidRPr="0035180A">
        <w:rPr>
          <w:i/>
          <w:iCs/>
          <w:color w:val="000000"/>
        </w:rPr>
        <w:t xml:space="preserve"> </w:t>
      </w:r>
      <w:proofErr w:type="spellStart"/>
      <w:r w:rsidRPr="0035180A">
        <w:rPr>
          <w:rStyle w:val="Emphasis"/>
          <w:color w:val="000000"/>
        </w:rPr>
        <w:t>Bjornulfr</w:t>
      </w:r>
      <w:proofErr w:type="spellEnd"/>
      <w:r w:rsidRPr="0035180A">
        <w:rPr>
          <w:rStyle w:val="Emphasis"/>
          <w:color w:val="000000"/>
        </w:rPr>
        <w:t xml:space="preserve"> had the manors. Now William de Percy has [them] and they are "waste".</w:t>
      </w:r>
      <w:r w:rsidR="007D340C">
        <w:rPr>
          <w:rStyle w:val="Emphasis"/>
          <w:color w:val="000000"/>
        </w:rPr>
        <w:t xml:space="preserve"> (Rough pasture or perhaps “laid to waste”).</w:t>
      </w:r>
    </w:p>
    <w:p w14:paraId="47E07624" w14:textId="5DD871BC" w:rsidR="00EB6F2F" w:rsidRPr="0035180A" w:rsidRDefault="00EB6F2F" w:rsidP="00EB6F2F">
      <w:pPr>
        <w:shd w:val="clear" w:color="auto" w:fill="FFFFFF"/>
        <w:spacing w:after="240" w:line="240" w:lineRule="auto"/>
        <w:ind w:left="-567" w:right="-589"/>
        <w:rPr>
          <w:rFonts w:cstheme="minorHAnsi"/>
        </w:rPr>
      </w:pPr>
      <w:r w:rsidRPr="0035180A">
        <w:rPr>
          <w:rFonts w:cstheme="minorHAnsi"/>
          <w:b/>
          <w:bCs/>
        </w:rPr>
        <w:t xml:space="preserve">The Hundred Rolls (1279) </w:t>
      </w:r>
      <w:r w:rsidRPr="0035180A">
        <w:rPr>
          <w:rFonts w:cstheme="minorHAnsi"/>
        </w:rPr>
        <w:t>– This surve</w:t>
      </w:r>
      <w:r w:rsidR="00DA5B62" w:rsidRPr="0035180A">
        <w:rPr>
          <w:rFonts w:cstheme="minorHAnsi"/>
        </w:rPr>
        <w:t xml:space="preserve">y painted a more detailed picture of rural society than the Domesday survey and included </w:t>
      </w:r>
      <w:r w:rsidR="007D340C">
        <w:rPr>
          <w:rFonts w:cstheme="minorHAnsi"/>
        </w:rPr>
        <w:t>some information about those living in the townships.</w:t>
      </w:r>
      <w:r w:rsidR="00DA5B62" w:rsidRPr="0035180A">
        <w:rPr>
          <w:rFonts w:cstheme="minorHAnsi"/>
        </w:rPr>
        <w:t xml:space="preserve"> Unfortunately, nothing was done with the results of the survey and </w:t>
      </w:r>
      <w:r w:rsidR="007D340C">
        <w:rPr>
          <w:rFonts w:cstheme="minorHAnsi"/>
        </w:rPr>
        <w:t>there are no surviving records for our area.</w:t>
      </w:r>
    </w:p>
    <w:p w14:paraId="1272561D" w14:textId="541DBAC5" w:rsidR="003D5475" w:rsidRPr="00733A55" w:rsidRDefault="006E60C4" w:rsidP="007D340C">
      <w:pPr>
        <w:shd w:val="clear" w:color="auto" w:fill="FFFFFF"/>
        <w:spacing w:after="240" w:line="240" w:lineRule="auto"/>
        <w:ind w:left="-567" w:right="-589"/>
        <w:rPr>
          <w:rFonts w:cstheme="minorHAnsi"/>
        </w:rPr>
      </w:pPr>
      <w:r w:rsidRPr="00733A55">
        <w:rPr>
          <w:rFonts w:cstheme="minorHAnsi"/>
          <w:b/>
          <w:bCs/>
        </w:rPr>
        <w:lastRenderedPageBreak/>
        <w:t xml:space="preserve">The </w:t>
      </w:r>
      <w:r w:rsidR="00305D7C" w:rsidRPr="00733A55">
        <w:rPr>
          <w:rFonts w:cstheme="minorHAnsi"/>
          <w:b/>
          <w:bCs/>
        </w:rPr>
        <w:t>Census Act</w:t>
      </w:r>
      <w:r w:rsidR="00F8472B" w:rsidRPr="00733A55">
        <w:rPr>
          <w:rFonts w:cstheme="minorHAnsi"/>
          <w:b/>
          <w:bCs/>
        </w:rPr>
        <w:t>, 1800</w:t>
      </w:r>
      <w:r w:rsidRPr="00733A55">
        <w:rPr>
          <w:rFonts w:cstheme="minorHAnsi"/>
          <w:b/>
          <w:bCs/>
        </w:rPr>
        <w:t xml:space="preserve"> –</w:t>
      </w:r>
      <w:r w:rsidR="00F32CC8" w:rsidRPr="00733A55">
        <w:rPr>
          <w:rFonts w:cstheme="minorHAnsi"/>
          <w:b/>
          <w:bCs/>
        </w:rPr>
        <w:t xml:space="preserve"> </w:t>
      </w:r>
      <w:r w:rsidR="00F32CC8" w:rsidRPr="00733A55">
        <w:rPr>
          <w:rFonts w:cstheme="minorHAnsi"/>
        </w:rPr>
        <w:t xml:space="preserve">There was a reluctance to collect further national data until </w:t>
      </w:r>
      <w:r w:rsidR="007D340C" w:rsidRPr="00733A55">
        <w:rPr>
          <w:rFonts w:cstheme="minorHAnsi"/>
        </w:rPr>
        <w:t>1800. At this time c</w:t>
      </w:r>
      <w:r w:rsidRPr="00733A55">
        <w:rPr>
          <w:rFonts w:cstheme="minorHAnsi"/>
        </w:rPr>
        <w:t xml:space="preserve">oncerns </w:t>
      </w:r>
      <w:r w:rsidR="00F32CC8" w:rsidRPr="00733A55">
        <w:rPr>
          <w:rFonts w:cstheme="minorHAnsi"/>
        </w:rPr>
        <w:t xml:space="preserve">were </w:t>
      </w:r>
      <w:r w:rsidRPr="00733A55">
        <w:rPr>
          <w:rFonts w:cstheme="minorHAnsi"/>
        </w:rPr>
        <w:t xml:space="preserve">raised that population growth would soon outstrip supplies of food and other resources. </w:t>
      </w:r>
      <w:r w:rsidR="00F32CC8" w:rsidRPr="00733A55">
        <w:rPr>
          <w:rFonts w:cstheme="minorHAnsi"/>
        </w:rPr>
        <w:t>T</w:t>
      </w:r>
      <w:r w:rsidR="007D340C" w:rsidRPr="00733A55">
        <w:rPr>
          <w:rFonts w:cstheme="minorHAnsi"/>
        </w:rPr>
        <w:t xml:space="preserve">o mitigate against this </w:t>
      </w:r>
      <w:r w:rsidRPr="00733A55">
        <w:rPr>
          <w:rFonts w:cstheme="minorHAnsi"/>
        </w:rPr>
        <w:t>Parliament passed the Census Act</w:t>
      </w:r>
      <w:r w:rsidR="00F8472B" w:rsidRPr="00733A55">
        <w:rPr>
          <w:rFonts w:cstheme="minorHAnsi"/>
        </w:rPr>
        <w:t xml:space="preserve"> to determine the true population. The</w:t>
      </w:r>
      <w:r w:rsidRPr="00733A55">
        <w:rPr>
          <w:rFonts w:cstheme="minorHAnsi"/>
        </w:rPr>
        <w:t xml:space="preserve"> first census took place in March 1801</w:t>
      </w:r>
      <w:r w:rsidR="00F8472B" w:rsidRPr="00733A55">
        <w:rPr>
          <w:rFonts w:cstheme="minorHAnsi"/>
        </w:rPr>
        <w:t xml:space="preserve"> when statistical information was collected but no personal data.</w:t>
      </w:r>
      <w:r w:rsidR="001005C1" w:rsidRPr="00733A55">
        <w:rPr>
          <w:rFonts w:cstheme="minorHAnsi"/>
        </w:rPr>
        <w:t xml:space="preserve"> </w:t>
      </w:r>
      <w:r w:rsidR="00F8472B" w:rsidRPr="00733A55">
        <w:rPr>
          <w:rFonts w:cstheme="minorHAnsi"/>
        </w:rPr>
        <w:t>This confirmed the population of Great Britain as nine million.</w:t>
      </w:r>
    </w:p>
    <w:p w14:paraId="7D91E9D1" w14:textId="1488999B" w:rsidR="00C93817" w:rsidRPr="00733A55" w:rsidRDefault="00C93817" w:rsidP="007D340C">
      <w:pPr>
        <w:shd w:val="clear" w:color="auto" w:fill="FFFFFF"/>
        <w:spacing w:after="240" w:line="240" w:lineRule="auto"/>
        <w:ind w:left="-567" w:right="-589"/>
        <w:rPr>
          <w:rFonts w:cstheme="minorHAnsi"/>
        </w:rPr>
      </w:pPr>
      <w:r w:rsidRPr="00733A55">
        <w:rPr>
          <w:rFonts w:cstheme="minorHAnsi"/>
          <w:b/>
          <w:bCs/>
        </w:rPr>
        <w:t xml:space="preserve">Population figures for </w:t>
      </w:r>
      <w:proofErr w:type="spellStart"/>
      <w:r w:rsidRPr="00733A55">
        <w:rPr>
          <w:rFonts w:cstheme="minorHAnsi"/>
          <w:b/>
          <w:bCs/>
        </w:rPr>
        <w:t>Malhamdale</w:t>
      </w:r>
      <w:proofErr w:type="spellEnd"/>
      <w:r w:rsidRPr="00733A55">
        <w:rPr>
          <w:rFonts w:cstheme="minorHAnsi"/>
          <w:b/>
          <w:bCs/>
        </w:rPr>
        <w:t xml:space="preserve"> Townships in 1801</w:t>
      </w:r>
      <w:r w:rsidR="001005C1" w:rsidRPr="00733A55">
        <w:rPr>
          <w:rFonts w:cstheme="minorHAnsi"/>
          <w:b/>
          <w:bCs/>
        </w:rPr>
        <w:t xml:space="preserve">  </w:t>
      </w:r>
    </w:p>
    <w:tbl>
      <w:tblPr>
        <w:tblStyle w:val="TableGrid"/>
        <w:tblW w:w="0" w:type="auto"/>
        <w:tblInd w:w="-567" w:type="dxa"/>
        <w:tblLook w:val="04A0" w:firstRow="1" w:lastRow="0" w:firstColumn="1" w:lastColumn="0" w:noHBand="0" w:noVBand="1"/>
      </w:tblPr>
      <w:tblGrid>
        <w:gridCol w:w="1106"/>
        <w:gridCol w:w="1017"/>
        <w:gridCol w:w="957"/>
        <w:gridCol w:w="1097"/>
        <w:gridCol w:w="1110"/>
        <w:gridCol w:w="918"/>
      </w:tblGrid>
      <w:tr w:rsidR="00733A55" w:rsidRPr="00733A55" w14:paraId="39AC359B" w14:textId="77777777" w:rsidTr="004E71DC">
        <w:trPr>
          <w:trHeight w:val="339"/>
        </w:trPr>
        <w:tc>
          <w:tcPr>
            <w:tcW w:w="1117" w:type="dxa"/>
          </w:tcPr>
          <w:p w14:paraId="4B7ACCA6" w14:textId="649CAE95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Township</w:t>
            </w:r>
          </w:p>
        </w:tc>
        <w:tc>
          <w:tcPr>
            <w:tcW w:w="1146" w:type="dxa"/>
          </w:tcPr>
          <w:p w14:paraId="4109D6AB" w14:textId="7AB5A45B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Mal Moor</w:t>
            </w:r>
          </w:p>
        </w:tc>
        <w:tc>
          <w:tcPr>
            <w:tcW w:w="892" w:type="dxa"/>
          </w:tcPr>
          <w:p w14:paraId="317D3A36" w14:textId="799F2A80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Malham</w:t>
            </w:r>
          </w:p>
        </w:tc>
        <w:tc>
          <w:tcPr>
            <w:tcW w:w="1235" w:type="dxa"/>
          </w:tcPr>
          <w:p w14:paraId="2C2EE629" w14:textId="0B1C0786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Kirkby</w:t>
            </w:r>
            <w:r w:rsidR="00733A55">
              <w:rPr>
                <w:rFonts w:cstheme="minorHAnsi"/>
              </w:rPr>
              <w:t xml:space="preserve"> M</w:t>
            </w:r>
          </w:p>
        </w:tc>
        <w:tc>
          <w:tcPr>
            <w:tcW w:w="836" w:type="dxa"/>
          </w:tcPr>
          <w:p w14:paraId="1E4083BF" w14:textId="7EE6C37A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Scosthrop</w:t>
            </w:r>
          </w:p>
        </w:tc>
        <w:tc>
          <w:tcPr>
            <w:tcW w:w="979" w:type="dxa"/>
          </w:tcPr>
          <w:p w14:paraId="2C0AE97D" w14:textId="73AE9726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Airton</w:t>
            </w:r>
          </w:p>
        </w:tc>
      </w:tr>
      <w:tr w:rsidR="00733A55" w:rsidRPr="00733A55" w14:paraId="6D3ED36C" w14:textId="77777777" w:rsidTr="004E71DC">
        <w:trPr>
          <w:trHeight w:val="247"/>
        </w:trPr>
        <w:tc>
          <w:tcPr>
            <w:tcW w:w="1117" w:type="dxa"/>
          </w:tcPr>
          <w:p w14:paraId="1E9142F1" w14:textId="18F63BA6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Pop. 1801</w:t>
            </w:r>
          </w:p>
        </w:tc>
        <w:tc>
          <w:tcPr>
            <w:tcW w:w="1146" w:type="dxa"/>
          </w:tcPr>
          <w:p w14:paraId="45C1E3E7" w14:textId="70042BDE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98</w:t>
            </w:r>
          </w:p>
        </w:tc>
        <w:tc>
          <w:tcPr>
            <w:tcW w:w="892" w:type="dxa"/>
          </w:tcPr>
          <w:p w14:paraId="3A50F247" w14:textId="78DC6BD6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262</w:t>
            </w:r>
          </w:p>
        </w:tc>
        <w:tc>
          <w:tcPr>
            <w:tcW w:w="1235" w:type="dxa"/>
          </w:tcPr>
          <w:p w14:paraId="4E6B7412" w14:textId="4584EC5E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167</w:t>
            </w:r>
          </w:p>
        </w:tc>
        <w:tc>
          <w:tcPr>
            <w:tcW w:w="836" w:type="dxa"/>
          </w:tcPr>
          <w:p w14:paraId="0B50AE0F" w14:textId="41D1FAC5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90</w:t>
            </w:r>
          </w:p>
        </w:tc>
        <w:tc>
          <w:tcPr>
            <w:tcW w:w="979" w:type="dxa"/>
          </w:tcPr>
          <w:p w14:paraId="31322EEC" w14:textId="0DEE7806" w:rsidR="00C93817" w:rsidRPr="00733A55" w:rsidRDefault="00C93817" w:rsidP="000260A8">
            <w:pPr>
              <w:spacing w:after="240"/>
              <w:ind w:right="-589"/>
              <w:rPr>
                <w:rFonts w:cstheme="minorHAnsi"/>
              </w:rPr>
            </w:pPr>
            <w:r w:rsidRPr="00733A55">
              <w:rPr>
                <w:rFonts w:cstheme="minorHAnsi"/>
              </w:rPr>
              <w:t>139</w:t>
            </w:r>
          </w:p>
        </w:tc>
      </w:tr>
    </w:tbl>
    <w:p w14:paraId="1636BDA6" w14:textId="2378D6BE" w:rsidR="00C93817" w:rsidRPr="00733A55" w:rsidRDefault="004E71DC" w:rsidP="007D340C">
      <w:pPr>
        <w:shd w:val="clear" w:color="auto" w:fill="FFFFFF"/>
        <w:spacing w:after="240" w:line="240" w:lineRule="auto"/>
        <w:ind w:left="-567" w:right="-589"/>
        <w:rPr>
          <w:rFonts w:cstheme="minorHAnsi"/>
        </w:rPr>
      </w:pPr>
      <w:r w:rsidRPr="00733A55">
        <w:rPr>
          <w:rFonts w:cstheme="minorHAnsi"/>
        </w:rPr>
        <w:t xml:space="preserve">This data tells us little on its own but when </w:t>
      </w:r>
      <w:r w:rsidR="000260A8" w:rsidRPr="00733A55">
        <w:rPr>
          <w:rFonts w:cstheme="minorHAnsi"/>
        </w:rPr>
        <w:t>it</w:t>
      </w:r>
      <w:r w:rsidRPr="00733A55">
        <w:rPr>
          <w:rFonts w:cstheme="minorHAnsi"/>
        </w:rPr>
        <w:t xml:space="preserve"> is compared with subsequent </w:t>
      </w:r>
      <w:proofErr w:type="gramStart"/>
      <w:r w:rsidRPr="00733A55">
        <w:rPr>
          <w:rFonts w:cstheme="minorHAnsi"/>
        </w:rPr>
        <w:t>years</w:t>
      </w:r>
      <w:proofErr w:type="gramEnd"/>
      <w:r w:rsidRPr="00733A55">
        <w:rPr>
          <w:rFonts w:cstheme="minorHAnsi"/>
        </w:rPr>
        <w:t xml:space="preserve"> we can chart the rise and fall in the population within </w:t>
      </w:r>
      <w:proofErr w:type="spellStart"/>
      <w:r w:rsidRPr="00733A55">
        <w:rPr>
          <w:rFonts w:cstheme="minorHAnsi"/>
        </w:rPr>
        <w:t>Malhamdale</w:t>
      </w:r>
      <w:proofErr w:type="spellEnd"/>
      <w:r w:rsidRPr="00733A55">
        <w:rPr>
          <w:rFonts w:cstheme="minorHAnsi"/>
        </w:rPr>
        <w:t xml:space="preserve"> and begin to find reasons for it. A full dataset can be found at </w:t>
      </w:r>
      <w:hyperlink r:id="rId6" w:history="1">
        <w:r w:rsidRPr="00733A55">
          <w:rPr>
            <w:rStyle w:val="Hyperlink"/>
            <w:rFonts w:cstheme="minorHAnsi"/>
          </w:rPr>
          <w:t>http://www.kirkbymalham.info/KMI/malhamdale/population.html</w:t>
        </w:r>
      </w:hyperlink>
    </w:p>
    <w:p w14:paraId="6B87C54F" w14:textId="3EACB110" w:rsidR="002D7847" w:rsidRPr="00733A55" w:rsidRDefault="00305D7C" w:rsidP="004E71DC">
      <w:pPr>
        <w:shd w:val="clear" w:color="auto" w:fill="FFFFFF"/>
        <w:spacing w:after="240" w:line="240" w:lineRule="auto"/>
        <w:ind w:left="-567" w:right="-589"/>
        <w:rPr>
          <w:rFonts w:cstheme="minorHAnsi"/>
        </w:rPr>
      </w:pPr>
      <w:r w:rsidRPr="00733A55">
        <w:rPr>
          <w:rFonts w:cstheme="minorHAnsi"/>
          <w:b/>
          <w:bCs/>
        </w:rPr>
        <w:t>The modern census</w:t>
      </w:r>
      <w:r w:rsidR="004E71DC" w:rsidRPr="00733A55">
        <w:rPr>
          <w:rFonts w:cstheme="minorHAnsi"/>
          <w:b/>
          <w:bCs/>
        </w:rPr>
        <w:t xml:space="preserve"> (1841 onwards)</w:t>
      </w:r>
      <w:r w:rsidRPr="00733A55">
        <w:rPr>
          <w:rFonts w:cstheme="minorHAnsi"/>
        </w:rPr>
        <w:t xml:space="preserve"> – </w:t>
      </w:r>
      <w:r w:rsidR="000260A8" w:rsidRPr="00733A55">
        <w:rPr>
          <w:rFonts w:cstheme="minorHAnsi"/>
        </w:rPr>
        <w:t xml:space="preserve">Census data has been collected every ten years since 1841 apart from in 1941, during the second World War. </w:t>
      </w:r>
      <w:r w:rsidR="002D7847" w:rsidRPr="00733A55">
        <w:rPr>
          <w:rFonts w:cstheme="minorHAnsi"/>
        </w:rPr>
        <w:t xml:space="preserve">Census data, over 100 years old, is freely available for researchers to use and paints a fascinating picture of communities in the past. All the data for </w:t>
      </w:r>
      <w:proofErr w:type="spellStart"/>
      <w:r w:rsidR="002D7847" w:rsidRPr="00733A55">
        <w:rPr>
          <w:rFonts w:cstheme="minorHAnsi"/>
        </w:rPr>
        <w:t>Malhamdale</w:t>
      </w:r>
      <w:proofErr w:type="spellEnd"/>
      <w:r w:rsidR="002D7847" w:rsidRPr="00733A55">
        <w:rPr>
          <w:rFonts w:cstheme="minorHAnsi"/>
        </w:rPr>
        <w:t xml:space="preserve"> townships (1841 to 1911) can be found on our website </w:t>
      </w:r>
      <w:hyperlink r:id="rId7" w:history="1">
        <w:r w:rsidR="002D7847" w:rsidRPr="00733A55">
          <w:rPr>
            <w:rStyle w:val="Hyperlink"/>
            <w:rFonts w:cstheme="minorHAnsi"/>
          </w:rPr>
          <w:t>www.kirkbymalham.info</w:t>
        </w:r>
      </w:hyperlink>
    </w:p>
    <w:p w14:paraId="49A62B67" w14:textId="06DBE63D" w:rsidR="00F8472B" w:rsidRPr="00733A55" w:rsidRDefault="00F8472B" w:rsidP="004E71DC">
      <w:pPr>
        <w:shd w:val="clear" w:color="auto" w:fill="FFFFFF"/>
        <w:spacing w:after="240" w:line="240" w:lineRule="auto"/>
        <w:ind w:left="-567" w:right="-589"/>
        <w:rPr>
          <w:noProof/>
        </w:rPr>
      </w:pPr>
      <w:r w:rsidRPr="00733A55">
        <w:rPr>
          <w:noProof/>
        </w:rPr>
        <w:drawing>
          <wp:anchor distT="0" distB="0" distL="114300" distR="114300" simplePos="0" relativeHeight="251661312" behindDoc="1" locked="0" layoutInCell="1" allowOverlap="1" wp14:anchorId="3D1C6124" wp14:editId="06F37C9E">
            <wp:simplePos x="0" y="0"/>
            <wp:positionH relativeFrom="page">
              <wp:posOffset>581025</wp:posOffset>
            </wp:positionH>
            <wp:positionV relativeFrom="paragraph">
              <wp:posOffset>31750</wp:posOffset>
            </wp:positionV>
            <wp:extent cx="2355850" cy="1343025"/>
            <wp:effectExtent l="0" t="0" r="6350" b="9525"/>
            <wp:wrapTight wrapText="bothSides">
              <wp:wrapPolygon edited="0">
                <wp:start x="0" y="0"/>
                <wp:lineTo x="0" y="21447"/>
                <wp:lineTo x="21484" y="21447"/>
                <wp:lineTo x="21484" y="0"/>
                <wp:lineTo x="0" y="0"/>
              </wp:wrapPolygon>
            </wp:wrapTight>
            <wp:docPr id="3" name="Picture 3" descr="Census - Genes Reuni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ensus - Genes Reuni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F8DF58" w14:textId="6024C280" w:rsidR="003D5475" w:rsidRPr="00733A55" w:rsidRDefault="003C3261" w:rsidP="00F8472B">
      <w:pPr>
        <w:shd w:val="clear" w:color="auto" w:fill="FFFFFF"/>
        <w:spacing w:after="240" w:line="240" w:lineRule="auto"/>
        <w:ind w:left="-567" w:right="-589"/>
        <w:rPr>
          <w:rFonts w:cstheme="minorHAnsi"/>
        </w:rPr>
      </w:pPr>
      <w:r w:rsidRPr="00733A55">
        <w:rPr>
          <w:rFonts w:cstheme="minorHAnsi"/>
        </w:rPr>
        <w:t xml:space="preserve">NYCC library service </w:t>
      </w:r>
      <w:r w:rsidR="00F8472B" w:rsidRPr="00733A55">
        <w:rPr>
          <w:rFonts w:cstheme="minorHAnsi"/>
        </w:rPr>
        <w:t>offers</w:t>
      </w:r>
      <w:r w:rsidRPr="00733A55">
        <w:rPr>
          <w:rFonts w:cstheme="minorHAnsi"/>
        </w:rPr>
        <w:t xml:space="preserve"> support with genealogy and family history and gives access to Ancestry.com and </w:t>
      </w:r>
      <w:r w:rsidR="00F8472B" w:rsidRPr="00733A55">
        <w:rPr>
          <w:rFonts w:cstheme="minorHAnsi"/>
        </w:rPr>
        <w:t>FindMyPast.co.uk</w:t>
      </w:r>
    </w:p>
    <w:p w14:paraId="71EA13DB" w14:textId="77777777" w:rsidR="003D5475" w:rsidRPr="0035180A" w:rsidRDefault="003D5475" w:rsidP="00EB6F2F">
      <w:pPr>
        <w:shd w:val="clear" w:color="auto" w:fill="FFFFFF"/>
        <w:spacing w:after="240" w:line="240" w:lineRule="auto"/>
        <w:ind w:left="-567" w:right="-589"/>
        <w:rPr>
          <w:rFonts w:cstheme="minorHAnsi"/>
          <w:b/>
          <w:bCs/>
        </w:rPr>
      </w:pPr>
    </w:p>
    <w:p w14:paraId="65EF9683" w14:textId="77777777" w:rsidR="00EB6F2F" w:rsidRPr="0035180A" w:rsidRDefault="00EB6F2F" w:rsidP="00EB6F2F">
      <w:pPr>
        <w:shd w:val="clear" w:color="auto" w:fill="FFFFFF"/>
        <w:spacing w:after="240" w:line="240" w:lineRule="auto"/>
        <w:ind w:right="-589"/>
        <w:rPr>
          <w:rFonts w:cstheme="minorHAnsi"/>
        </w:rPr>
      </w:pPr>
    </w:p>
    <w:p w14:paraId="4EEB76A2" w14:textId="3A331458" w:rsidR="00EB6F2F" w:rsidRPr="0035180A" w:rsidRDefault="00EB6F2F" w:rsidP="00D0171F">
      <w:pPr>
        <w:shd w:val="clear" w:color="auto" w:fill="FFFFFF"/>
        <w:spacing w:after="240" w:line="360" w:lineRule="atLeast"/>
        <w:ind w:left="-567" w:right="-589"/>
        <w:rPr>
          <w:rFonts w:cstheme="minorHAnsi"/>
        </w:rPr>
      </w:pPr>
    </w:p>
    <w:p w14:paraId="54A05899" w14:textId="2673BD40" w:rsidR="00EB6F2F" w:rsidRPr="0035180A" w:rsidRDefault="00EB6F2F" w:rsidP="00D0171F">
      <w:pPr>
        <w:shd w:val="clear" w:color="auto" w:fill="FFFFFF"/>
        <w:spacing w:after="240" w:line="360" w:lineRule="atLeast"/>
        <w:ind w:left="-567" w:right="-589"/>
        <w:rPr>
          <w:rFonts w:cstheme="minorHAnsi"/>
        </w:rPr>
      </w:pPr>
    </w:p>
    <w:sectPr w:rsidR="00EB6F2F" w:rsidRPr="0035180A" w:rsidSect="00D0171F">
      <w:pgSz w:w="8391" w:h="11906" w:code="11"/>
      <w:pgMar w:top="1440" w:right="130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466"/>
    <w:rsid w:val="000260A8"/>
    <w:rsid w:val="001005C1"/>
    <w:rsid w:val="002D7847"/>
    <w:rsid w:val="00305D7C"/>
    <w:rsid w:val="0035180A"/>
    <w:rsid w:val="003C3261"/>
    <w:rsid w:val="003D5475"/>
    <w:rsid w:val="004E71DC"/>
    <w:rsid w:val="006E60C4"/>
    <w:rsid w:val="00733A55"/>
    <w:rsid w:val="00794AAF"/>
    <w:rsid w:val="007D340C"/>
    <w:rsid w:val="00997D1D"/>
    <w:rsid w:val="00BC7466"/>
    <w:rsid w:val="00C93817"/>
    <w:rsid w:val="00D0171F"/>
    <w:rsid w:val="00DA4C6E"/>
    <w:rsid w:val="00DA5B62"/>
    <w:rsid w:val="00EB6F2F"/>
    <w:rsid w:val="00F32CC8"/>
    <w:rsid w:val="00F84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DB453"/>
  <w15:chartTrackingRefBased/>
  <w15:docId w15:val="{9C3E9C43-69D5-4922-8B8F-239CA17E1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017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0171F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01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35180A"/>
    <w:rPr>
      <w:i/>
      <w:iCs/>
    </w:rPr>
  </w:style>
  <w:style w:type="table" w:styleId="TableGrid">
    <w:name w:val="Table Grid"/>
    <w:basedOn w:val="TableNormal"/>
    <w:uiPriority w:val="39"/>
    <w:rsid w:val="00C938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E71D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71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1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7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hyperlink" Target="http://www.kirkbymalham.inf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irkbymalham.info/KMI/malhamdale/population.html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Hodson</dc:creator>
  <cp:keywords/>
  <dc:description/>
  <cp:lastModifiedBy>Linda Hodson</cp:lastModifiedBy>
  <cp:revision>2</cp:revision>
  <dcterms:created xsi:type="dcterms:W3CDTF">2021-04-30T13:45:00Z</dcterms:created>
  <dcterms:modified xsi:type="dcterms:W3CDTF">2021-04-30T13:45:00Z</dcterms:modified>
</cp:coreProperties>
</file>